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Zákon</w:t>
      </w:r>
      <w:r>
        <w:t xml:space="preserve"> </w:t>
      </w:r>
      <w:r>
        <w:t xml:space="preserve">o</w:t>
      </w:r>
      <w:r>
        <w:t xml:space="preserve"> </w:t>
      </w:r>
      <w:r>
        <w:t xml:space="preserve">Občanských</w:t>
      </w:r>
      <w:r>
        <w:t xml:space="preserve"> </w:t>
      </w:r>
      <w:r>
        <w:t xml:space="preserve">tribunálech</w:t>
      </w:r>
    </w:p>
    <w:p>
      <w:pPr>
        <w:pStyle w:val="Subtitle"/>
      </w:pPr>
      <w:r>
        <w:t xml:space="preserve">Návrh</w:t>
      </w:r>
      <w:r>
        <w:t xml:space="preserve"> </w:t>
      </w:r>
      <w:r>
        <w:t xml:space="preserve">zákona</w:t>
      </w:r>
      <w:r>
        <w:t xml:space="preserve"> </w:t>
      </w:r>
      <w:r>
        <w:t xml:space="preserve">č.</w:t>
      </w:r>
      <w:r>
        <w:t xml:space="preserve"> </w:t>
      </w:r>
      <w:r>
        <w:t xml:space="preserve">24</w:t>
      </w:r>
      <w:r>
        <w:t xml:space="preserve"> </w:t>
      </w:r>
      <w:r>
        <w:t xml:space="preserve">podle</w:t>
      </w:r>
      <w:r>
        <w:t xml:space="preserve"> </w:t>
      </w:r>
      <w:r>
        <w:t xml:space="preserve">seznamu</w:t>
      </w:r>
      <w:r>
        <w:t xml:space="preserve"> </w:t>
      </w:r>
      <w:r>
        <w:t xml:space="preserve">zákonů</w:t>
      </w:r>
      <w:r>
        <w:t xml:space="preserve"> </w:t>
      </w:r>
      <w:r>
        <w:t xml:space="preserve">Fóra</w:t>
      </w:r>
      <w:r>
        <w:t xml:space="preserve"> </w:t>
      </w:r>
      <w:r>
        <w:t xml:space="preserve">lidu</w:t>
      </w:r>
      <w:r>
        <w:t xml:space="preserve"> </w:t>
      </w:r>
      <w:r>
        <w:t xml:space="preserve">–</w:t>
      </w:r>
      <w:r>
        <w:t xml:space="preserve"> </w:t>
      </w:r>
      <w:r>
        <w:t xml:space="preserve">prováděcí</w:t>
      </w:r>
      <w:r>
        <w:t xml:space="preserve"> </w:t>
      </w:r>
      <w:r>
        <w:t xml:space="preserve">zákon</w:t>
      </w:r>
      <w:r>
        <w:t xml:space="preserve"> </w:t>
      </w:r>
      <w:r>
        <w:t xml:space="preserve">k</w:t>
      </w:r>
      <w:r>
        <w:t xml:space="preserve"> </w:t>
      </w:r>
      <w:r>
        <w:t xml:space="preserve">Občanské</w:t>
      </w:r>
      <w:r>
        <w:t xml:space="preserve"> </w:t>
      </w:r>
      <w:r>
        <w:t xml:space="preserve">ústavě</w:t>
      </w:r>
      <w:r>
        <w:t xml:space="preserve"> </w:t>
      </w:r>
      <w:r>
        <w:t xml:space="preserve">ČR</w:t>
      </w:r>
      <w:r>
        <w:t xml:space="preserve"> </w:t>
      </w:r>
      <w:r>
        <w:t xml:space="preserve">(OIPD)</w:t>
      </w:r>
    </w:p>
    <w:p>
      <w:pPr>
        <w:pStyle w:val="Date"/>
      </w:pPr>
      <w:r>
        <w:t xml:space="preserve">Fórum</w:t>
      </w:r>
      <w:r>
        <w:t xml:space="preserve"> </w:t>
      </w:r>
      <w:r>
        <w:t xml:space="preserve">lidu</w:t>
      </w:r>
      <w:r>
        <w:t xml:space="preserve"> </w:t>
      </w:r>
      <w:r>
        <w:t xml:space="preserve">·</w:t>
      </w:r>
      <w:r>
        <w:t xml:space="preserve"> </w:t>
      </w:r>
      <w:r>
        <w:t xml:space="preserve">pracovní</w:t>
      </w:r>
      <w:r>
        <w:t xml:space="preserve"> </w:t>
      </w:r>
      <w:r>
        <w:t xml:space="preserve">návrh</w:t>
      </w:r>
      <w:r>
        <w:t xml:space="preserve"> </w:t>
      </w:r>
      <w:r>
        <w:t xml:space="preserve">ze</w:t>
      </w:r>
      <w:r>
        <w:t xml:space="preserve"> </w:t>
      </w:r>
      <w:r>
        <w:t xml:space="preserve">dne</w:t>
      </w:r>
      <w:r>
        <w:t xml:space="preserve"> </w:t>
      </w:r>
      <w:r>
        <w:t xml:space="preserve">27.</w:t>
      </w:r>
      <w:r>
        <w:t xml:space="preserve"> </w:t>
      </w:r>
      <w:r>
        <w:t xml:space="preserve">10.</w:t>
      </w:r>
      <w:r>
        <w:t xml:space="preserve"> </w:t>
      </w:r>
      <w:r>
        <w:t xml:space="preserve">2026</w:t>
      </w:r>
    </w:p>
    <w:p>
      <w:pPr>
        <w:pStyle w:val="FirstParagraph"/>
      </w:pPr>
      <w:r>
        <w:rPr>
          <w:bCs/>
          <w:b/>
        </w:rPr>
        <w:t xml:space="preserve">Postavení návrhu:</w:t>
      </w:r>
      <w:r>
        <w:t xml:space="preserve"> </w:t>
      </w:r>
      <w:r>
        <w:t xml:space="preserve">Zákon provádí čl. 88 a 92 Občanské ústavy: 14 tribunů lidu, kteří chrání občany před zneužitím veřejné moci, přijímají jejich podněty, shromažďují důkazy, předvolávají veřejné služebníky k veřejnému slyšení a podávají návrhy na trestní a kárné řízení a na odvolání. Volbu tribunů upravuje volební zákon (č. 2). Vychází z autorových Východisek (bod 35), Hlavy 1 (čl. 12) a z programu OIPD („Konec zločinu“) na forumlidu.cz/oipd. Schvalují jej občané v referendu.</w:t>
      </w:r>
    </w:p>
    <w:bookmarkStart w:id="27" w:name="návrh"/>
    <w:p>
      <w:pPr>
        <w:pStyle w:val="Heading1"/>
        <w:jc w:val="center"/>
      </w:pPr>
      <w:r>
        <w:t xml:space="preserve">NÁVRH</w:t>
      </w:r>
    </w:p>
    <w:p>
      <w:pPr>
        <w:pStyle w:val="FirstParagraph"/>
        <w:jc w:val="center"/>
      </w:pPr>
      <w:r>
        <w:rPr>
          <w:bCs/>
          <w:b/>
        </w:rPr>
        <w:t xml:space="preserve">ZÁKON</w:t>
      </w:r>
    </w:p>
    <w:p>
      <w:pPr>
        <w:pStyle w:val="BodyText"/>
        <w:jc w:val="center"/>
      </w:pPr>
      <w:r>
        <w:t xml:space="preserve">ze dne ……… 20..</w:t>
      </w:r>
    </w:p>
    <w:p>
      <w:pPr>
        <w:pStyle w:val="BodyText"/>
        <w:jc w:val="center"/>
      </w:pPr>
      <w:r>
        <w:rPr>
          <w:bCs/>
          <w:b/>
        </w:rPr>
        <w:t xml:space="preserve">o Občanských tribunálech</w:t>
      </w:r>
    </w:p>
    <w:p>
      <w:pPr>
        <w:pStyle w:val="BodyText"/>
        <w:jc w:val="center"/>
      </w:pPr>
      <w:r>
        <w:t xml:space="preserve">Občané České republiky se v referendu usnesli na tomto zákoně:</w:t>
      </w:r>
    </w:p>
    <w:bookmarkStart w:id="20" w:name="část-první-základní-ustanovení"/>
    <w:p>
      <w:pPr>
        <w:pStyle w:val="Heading2"/>
        <w:jc w:val="center"/>
      </w:pPr>
      <w:r>
        <w:t xml:space="preserve">ČÁST PRVNÍ – ZÁKLADNÍ USTANOVENÍ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1 – Předmět úpravy</w:t>
      </w:r>
    </w:p>
    <w:p>
      <w:pPr>
        <w:pStyle w:val="BodyText"/>
      </w:pPr>
      <w:r>
        <w:t xml:space="preserve">Tento zákon upravuje podle Občanské ústavy České republiky (dále jen „ústava“) postavení, pravomoci a postup tribunů lidu a Občanských tribunálů.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2 – Poslání</w:t>
      </w:r>
    </w:p>
    <w:p>
      <w:pPr>
        <w:pStyle w:val="BodyText"/>
      </w:pPr>
      <w:r>
        <w:t xml:space="preserve">Občanské tribunály chrání občany před zneužitím veřejné moci, rozkrádáním veřejného majetku a selháním veřejných služebníků (čl. 88 odst. 1 a 2 ústavy). Nesoudí a netrestají; zjišťují pravdu, zveřejňují ji a předávají věci těm, kdo o nich podle ústavy rozhodují.</w:t>
      </w:r>
    </w:p>
    <w:bookmarkEnd w:id="20"/>
    <w:bookmarkStart w:id="21" w:name="část-druhá-tribuni-lidu"/>
    <w:p>
      <w:pPr>
        <w:pStyle w:val="Heading2"/>
        <w:jc w:val="center"/>
      </w:pPr>
      <w:r>
        <w:t xml:space="preserve">ČÁST DRUHÁ – TRIBUNI LIDU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3 – Volba a odvolání</w:t>
      </w:r>
    </w:p>
    <w:p>
      <w:pPr>
        <w:pStyle w:val="BodyText"/>
      </w:pPr>
      <w:r>
        <w:t xml:space="preserve">(1) Občanské tribunály tvoří 14 tribunů lidu, po jednom za každý kraj. Tribuna volí rozhodující občané kraje na 4 roky podle volebního zákona a mohou jej kdykoli odvolat (čl. 88 odst. 1 a čl. 29 ústavy).</w:t>
      </w:r>
    </w:p>
    <w:p>
      <w:pPr>
        <w:pStyle w:val="BodyText"/>
      </w:pPr>
      <w:r>
        <w:t xml:space="preserve">(2) Funkce tribuna je neslučitelná s jinou funkcí ve veřejné službě. Před nástupem do funkce tribun odstraní střet zájmů a podá veřejné majetkové přiznání (čl. 85 ústavy).</w:t>
      </w:r>
    </w:p>
    <w:p>
      <w:pPr>
        <w:pStyle w:val="BodyText"/>
      </w:pPr>
      <w:r>
        <w:t xml:space="preserve">(3) Tribun skládá do rukou předsedy Senátu slib: „Slibuji, že budu chránit občany před zneužitím moci, nestranně, pravdivě a bez ohledu na osoby, a že za svou činnost ponesu osobní odpovědnost.“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4 – Sídlo a kanceláře</w:t>
      </w:r>
    </w:p>
    <w:p>
      <w:pPr>
        <w:pStyle w:val="BodyText"/>
      </w:pPr>
      <w:r>
        <w:t xml:space="preserve">(1) Sídlem Občanských tribunálů je budova Senátu (čl. 88 odst. 1 ústavy). Každý tribun má kancelář ve svém kraji, kde přijímá občany nejméně dvakrát týdně.</w:t>
      </w:r>
    </w:p>
    <w:p>
      <w:pPr>
        <w:pStyle w:val="BodyText"/>
      </w:pPr>
      <w:r>
        <w:t xml:space="preserve">(2) Každý tribun si může vybrat ve veřejné soutěži nejvýše 5 spolupracovníků; společnou kancelář tribunálů tvoří nejvýše 20 zaměstnanců. Spolupracovníci nemají rozhodovací pravomoc.</w:t>
      </w:r>
    </w:p>
    <w:p>
      <w:pPr>
        <w:pStyle w:val="BodyText"/>
      </w:pPr>
      <w:r>
        <w:t xml:space="preserve">(3) Rozpočet Občanských tribunálů je samostatnou kapitolou státního rozpočtu; nikdo jej nesmí krátit kvůli jejich zjištěním.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5 – Nezávislost</w:t>
      </w:r>
    </w:p>
    <w:p>
      <w:pPr>
        <w:pStyle w:val="BodyText"/>
      </w:pPr>
      <w:r>
        <w:t xml:space="preserve">(1) Do činnosti tribunálů nesmí nikdo zasahovat (čl. 88 odst. 4 ústavy). Tribun není vázán pokyny a odpovídá jen občanům svého kraje.</w:t>
      </w:r>
    </w:p>
    <w:p>
      <w:pPr>
        <w:pStyle w:val="BodyText"/>
      </w:pPr>
      <w:r>
        <w:t xml:space="preserve">(2) Tribun je povinně pojištěn a za svou činnost odpovídá osobně (čl. 84 ústavy). Za zveřejnění pravdivých zjištění nesmí být postižen.</w:t>
      </w:r>
    </w:p>
    <w:bookmarkEnd w:id="21"/>
    <w:bookmarkStart w:id="22" w:name="část-třetí-podněty"/>
    <w:p>
      <w:pPr>
        <w:pStyle w:val="Heading2"/>
        <w:jc w:val="center"/>
      </w:pPr>
      <w:r>
        <w:t xml:space="preserve">ČÁST TŘETÍ – PODNĚTY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6 – Kdo a jak</w:t>
      </w:r>
    </w:p>
    <w:p>
      <w:pPr>
        <w:pStyle w:val="BodyText"/>
      </w:pPr>
      <w:r>
        <w:t xml:space="preserve">(1) Podnět může tribunovi podat každý, a to osobně, písemně, elektronicky nebo prostřednictvím systému EVORAS. Podnět se týká zneužití pravomoci, rozkrádání veřejného majetku nebo selhání kteréhokoli veřejného služebníka, včetně soudců, státních zástupců, policistů, ministrů a ředitelů institucí veřejné služby (čl. 88 odst. 2 ústavy).</w:t>
      </w:r>
    </w:p>
    <w:p>
      <w:pPr>
        <w:pStyle w:val="BodyText"/>
      </w:pPr>
      <w:r>
        <w:t xml:space="preserve">(2) Podnět vyřizuje tribun kraje, kde k jednání došlo nebo kde má podatel bydliště; věc celostátního významu může tribun předložit tribunálu jako celku.</w:t>
      </w:r>
    </w:p>
    <w:p>
      <w:pPr>
        <w:pStyle w:val="BodyText"/>
      </w:pPr>
      <w:r>
        <w:t xml:space="preserve">(3) Tribun do 30 dnů sdělí podateli, jak s podnětem naložil. Odloží-li jej, uvede důvod.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7 – Ochrana oznamovatele</w:t>
      </w:r>
    </w:p>
    <w:p>
      <w:pPr>
        <w:pStyle w:val="BodyText"/>
      </w:pPr>
      <w:r>
        <w:t xml:space="preserve">(1) Na žádost podatele se jeho totožnost utají; prozradit ji lze jen s jeho souhlasem nebo rozhodnutím soudu.</w:t>
      </w:r>
    </w:p>
    <w:p>
      <w:pPr>
        <w:pStyle w:val="BodyText"/>
      </w:pPr>
      <w:r>
        <w:t xml:space="preserve">(2) Nikdo nesmí být postižen za to, že podal podnět v dobré víře. Veřejný služebník, který oznamovatele postihne, se dopouští zneužití moci (čl. 92 ústavy).</w:t>
      </w:r>
    </w:p>
    <w:bookmarkEnd w:id="22"/>
    <w:bookmarkStart w:id="23" w:name="část-čtvrtá-šetření"/>
    <w:p>
      <w:pPr>
        <w:pStyle w:val="Heading2"/>
        <w:jc w:val="center"/>
      </w:pPr>
      <w:r>
        <w:t xml:space="preserve">ČÁST ČTVRTÁ – ŠETŘENÍ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8 – Oprávnění tribuna</w:t>
      </w:r>
    </w:p>
    <w:p>
      <w:pPr>
        <w:pStyle w:val="BodyText"/>
      </w:pPr>
      <w:r>
        <w:t xml:space="preserve">(1) Tribun shromažďuje důkazy. Instituce veřejné služby, územní celky a jejich služebníci jsou povinni mu do 15 dnů poskytnout požadované spisy, údaje a vysvětlení a umožnit mu vstup do úředních prostor (čl. 88 odst. 4 ústavy).</w:t>
      </w:r>
    </w:p>
    <w:p>
      <w:pPr>
        <w:pStyle w:val="BodyText"/>
      </w:pPr>
      <w:r>
        <w:t xml:space="preserve">(2) Domovní prohlídku, odposlech ani jiný zásah do soukromí tribun provést nesmí; může o ně požádat policii, která postupuje podle čl. 81 odst. 3 ústavy.</w:t>
      </w:r>
    </w:p>
    <w:p>
      <w:pPr>
        <w:pStyle w:val="BodyText"/>
      </w:pPr>
      <w:r>
        <w:t xml:space="preserve">(3) Tribun má přístup i k utajovaným informacím, je-li to pro šetření nezbytné; zachovává o nich mlčenlivost.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9 – Veřejné slyšení</w:t>
      </w:r>
    </w:p>
    <w:p>
      <w:pPr>
        <w:pStyle w:val="BodyText"/>
      </w:pPr>
      <w:r>
        <w:t xml:space="preserve">(1) Tribun může předvolat veřejného služebníka k veřejnému slyšení; ve věci celostátního významu předvolává tribunál usnesením nadpoloviční většiny tribunů. Předvolaný je povinen se dostavit a vypovídat; odepřít výpověď může jen z důvodů, které dává trestní řád (čl. 88 odst. 3 ústavy).</w:t>
      </w:r>
    </w:p>
    <w:p>
      <w:pPr>
        <w:pStyle w:val="BodyText"/>
      </w:pPr>
      <w:r>
        <w:t xml:space="preserve">(2) Slyšení je veřejné a přenáší je Veřejná služba informační; senátoři a soudci Ústavního soudu se jej mohou účastnit s právem být slyšeni (čl. 88 odst. 4 ústavy).</w:t>
      </w:r>
    </w:p>
    <w:p>
      <w:pPr>
        <w:pStyle w:val="BodyText"/>
      </w:pPr>
      <w:r>
        <w:t xml:space="preserve">(3) Kdo se ke slyšení bez vážného důvodu nedostaví, může být předveden policií na příkaz soudce; za nedostavení mu na návrh tribuna uloží soud pořádkovou pokutu až do výše jeho měsíčního platu, kterou platí osobně.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10 – Zpráva o šetření</w:t>
      </w:r>
    </w:p>
    <w:p>
      <w:pPr>
        <w:pStyle w:val="BodyText"/>
      </w:pPr>
      <w:r>
        <w:t xml:space="preserve">Výsledek šetření tribun zveřejní ve zprávě, v níž uvede zjištěné skutečnosti, důkazy, jména odpovědných služebníků a jejich vyjádření. Služebník, jehož se zpráva týká, má právo, aby jeho vyjádření bylo zveřejněno v plném znění.</w:t>
      </w:r>
    </w:p>
    <w:bookmarkEnd w:id="23"/>
    <w:bookmarkStart w:id="24" w:name="část-pátá-návrhy"/>
    <w:p>
      <w:pPr>
        <w:pStyle w:val="Heading2"/>
        <w:jc w:val="center"/>
      </w:pPr>
      <w:r>
        <w:t xml:space="preserve">ČÁST PÁTÁ – NÁVRHY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11 – Trestní věci</w:t>
      </w:r>
    </w:p>
    <w:p>
      <w:pPr>
        <w:pStyle w:val="BodyText"/>
      </w:pPr>
      <w:r>
        <w:t xml:space="preserve">(1) Zjistí-li tribun podezření z trestného činu, podá státnímu zastupitelství návrh na zahájení trestního řízení s důkazy (čl. 88 odst. 2 ústavy).</w:t>
      </w:r>
    </w:p>
    <w:p>
      <w:pPr>
        <w:pStyle w:val="BodyText"/>
      </w:pPr>
      <w:r>
        <w:t xml:space="preserve">(2) Státní zastupitelství sdělí tribunovi do 30 dnů, jak s návrhem naložilo, a každé 3 měsíce jej informuje o průběhu. Odloží-li věc, může tribun žádat přezkum podle zákona o soudnictví a vězeňství.</w:t>
      </w:r>
    </w:p>
    <w:p>
      <w:pPr>
        <w:pStyle w:val="BodyText"/>
      </w:pPr>
      <w:r>
        <w:t xml:space="preserve">(3) Zneužití ústavy, zákona nebo veřejné funkce pro osobní, skupinové nebo cizí zájmy proti občanům (čl. 92 odst. 1 ústavy) se posuzuje jako trestný čin zneužití pravomoci úřední osoby podle trestního zákoníku; za úřední osobu se považuje každý veřejný služebník. Promlčecí doba neběží po dobu, kdy služebník funkci zastává (čl. 92 odst. 2 ústavy).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12 – Kárné věci a odvolání</w:t>
      </w:r>
    </w:p>
    <w:p>
      <w:pPr>
        <w:pStyle w:val="BodyText"/>
      </w:pPr>
      <w:r>
        <w:t xml:space="preserve">(1) Tribun může podat návrh na zahájení kárného řízení proti soudci, státnímu zástupci nebo jinému veřejnému služebníku podle zákona, který kárné řízení upravuje.</w:t>
      </w:r>
    </w:p>
    <w:p>
      <w:pPr>
        <w:pStyle w:val="BodyText"/>
      </w:pPr>
      <w:r>
        <w:t xml:space="preserve">(2) Tribun může zveřejnit odůvodněný návrh na odvolání voleného veřejného služebníka v systému EVORAS postupem podle § 28 odst. 2 volebního zákona; referendum se vyhlásí, podpoří-li návrh petice v počtu podle zákona petičního a o referendech a anketách (čl. 22 ústavy).</w:t>
      </w:r>
    </w:p>
    <w:p>
      <w:pPr>
        <w:pStyle w:val="BodyText"/>
      </w:pPr>
      <w:r>
        <w:t xml:space="preserve">(3) Hrozí-li, že služebník bude ve výkonu funkce pokračovat v trestné činnosti nebo ničit důkazy, může tribun navrhnout soudu, aby mu dočasně pozastavil výkon funkce; o návrhu rozhodne soud do 7 dnů. Pozastavení trvá nejdéle do rozhodnutí o odvolání nebo do pravomocného skončení trestního řízení.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13 – Náhrada škody</w:t>
      </w:r>
    </w:p>
    <w:p>
      <w:pPr>
        <w:pStyle w:val="BodyText"/>
      </w:pPr>
      <w:r>
        <w:t xml:space="preserve">Zjistí-li tribun škodu způsobenou veřejným služebníkem, oznámí ji Veřejné službě správní, u územního celku jeho úřadu, které nárok uplatní postupem podle § 11 zákona o veřejných služebnících a jejich platech; neučiní-li tak do 60 dnů, může žalobu jménem poškozeného státu nebo územního celku podat tribun.</w:t>
      </w:r>
    </w:p>
    <w:bookmarkEnd w:id="24"/>
    <w:bookmarkStart w:id="25" w:name="část-šestá-tribunál-jako-celek"/>
    <w:p>
      <w:pPr>
        <w:pStyle w:val="Heading2"/>
        <w:jc w:val="center"/>
      </w:pPr>
      <w:r>
        <w:t xml:space="preserve">ČÁST ŠESTÁ – TRIBUNÁL JAKO CELEK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14</w:t>
      </w:r>
    </w:p>
    <w:p>
      <w:pPr>
        <w:pStyle w:val="BodyText"/>
      </w:pPr>
      <w:r>
        <w:t xml:space="preserve">(1) Tribuni se scházejí jako tribunál nejméně jednou měsíčně v budově Senátu; zasedání je veřejné. Ze svého středu volí na 1 rok mluvčího, který nemá vůči ostatním žádnou nadřízenost.</w:t>
      </w:r>
    </w:p>
    <w:p>
      <w:pPr>
        <w:pStyle w:val="BodyText"/>
      </w:pPr>
      <w:r>
        <w:t xml:space="preserve">(2) Tribunál projednává věci celostátního významu, sjednocuje postup tribunů a každý rok zveřejní zprávu o stavu zneužívání moci v republice.</w:t>
      </w:r>
    </w:p>
    <w:p>
      <w:pPr>
        <w:pStyle w:val="BodyText"/>
      </w:pPr>
      <w:r>
        <w:t xml:space="preserve">(3) Tribunál může doporučit Veřejné službě kontrolní kontrolu kterékoli instituce a podávat Parlamentu podněty ke změně zákonů.</w:t>
      </w:r>
    </w:p>
    <w:bookmarkEnd w:id="25"/>
    <w:bookmarkStart w:id="26" w:name="X3bb4d4b2eeb043fc153ca00f847759970f74ad6"/>
    <w:p>
      <w:pPr>
        <w:pStyle w:val="Heading2"/>
        <w:jc w:val="center"/>
      </w:pPr>
      <w:r>
        <w:t xml:space="preserve">ČÁST SEDMÁ – PŘECHODNÁ A ZÁVĚREČNÁ USTANOVENÍ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15 – Přechodná ustanovení</w:t>
      </w:r>
    </w:p>
    <w:p>
      <w:pPr>
        <w:pStyle w:val="BodyText"/>
      </w:pPr>
      <w:r>
        <w:t xml:space="preserve">(1) Tribuni lidu se zvolí do 1 roku od účinnosti ústavy (čl. 122 odst. 2 ústavy); tato lhůta platí i tehdy, nabude-li tento zákon účinnosti později.</w:t>
      </w:r>
    </w:p>
    <w:p>
      <w:pPr>
        <w:pStyle w:val="BodyText"/>
      </w:pPr>
      <w:r>
        <w:t xml:space="preserve">(2) Agenda Kanceláře veřejného ochránce práv přechází na Občanské tribunály dnem nástupu tribunů do funkce; zaměstnanci kanceláře mají přednost ve veřejných soutěžích podle § 4 odst. 2.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16 – Zrušovací ustanovení</w:t>
      </w:r>
    </w:p>
    <w:p>
      <w:pPr>
        <w:pStyle w:val="BodyText"/>
      </w:pPr>
      <w:r>
        <w:t xml:space="preserve">Zákon č. 349/1999 Sb., o veřejném ochránci práv, ve znění pozdějších předpisů, se zrušuje dnem nástupu tribunů do funkce.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17 – Účinnost</w:t>
      </w:r>
    </w:p>
    <w:p>
      <w:pPr>
        <w:pStyle w:val="BodyText"/>
      </w:pPr>
      <w:r>
        <w:t xml:space="preserve">Tento zákon nabývá účinnosti dnem vyhlášení výsledku referenda, jímž byl přijat.</w:t>
      </w:r>
    </w:p>
    <w:bookmarkEnd w:id="26"/>
    <w:bookmarkEnd w:id="27"/>
    <w:bookmarkStart w:id="35" w:name="důvodová-zpráva"/>
    <w:p>
      <w:pPr>
        <w:pStyle w:val="Heading1"/>
        <w:pageBreakBefore/>
        <w:jc w:val="center"/>
      </w:pPr>
      <w:r>
        <w:t xml:space="preserve">DŮVODOVÁ ZPRÁVA</w:t>
      </w:r>
    </w:p>
    <w:bookmarkStart w:id="33" w:name="a.-obecná-část"/>
    <w:p>
      <w:pPr>
        <w:pStyle w:val="Heading2"/>
        <w:jc w:val="center"/>
      </w:pPr>
      <w:r>
        <w:t xml:space="preserve">A. Obecná část</w:t>
      </w:r>
    </w:p>
    <w:bookmarkStart w:id="28" w:name="účel-zákona"/>
    <w:p>
      <w:pPr>
        <w:pStyle w:val="Heading3"/>
        <w:spacing w:after="40"/>
        <w:ind w:left="454"/>
      </w:pPr>
      <w:r>
        <w:t xml:space="preserve">1. Účel zákona</w:t>
      </w:r>
    </w:p>
    <w:p>
      <w:pPr>
        <w:pStyle w:val="FirstParagraph"/>
      </w:pPr>
      <w:r>
        <w:t xml:space="preserve">Tribuni lidu jsou „hlídací psi“ občanů. Kdo se setká se zneužitím moci, nemusí se spoléhat na to, že instituce prošetří samy sebe: obrátí se na voleného tribuna svého kraje, který má přístup ke spisům, může předvolat kohokoli k veřejnému slyšení a předat věc státnímu zastupitelství, které mu musí odpovídat.</w:t>
      </w:r>
    </w:p>
    <w:bookmarkEnd w:id="28"/>
    <w:bookmarkStart w:id="29" w:name="vazba-na-oipd-a-texty-autora"/>
    <w:p>
      <w:pPr>
        <w:pStyle w:val="Heading3"/>
        <w:spacing w:after="40"/>
        <w:ind w:left="454"/>
      </w:pPr>
      <w:r>
        <w:t xml:space="preserve">2. Vazba na OIPD a texty autora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Východiska, bod 35:</w:t>
      </w:r>
      <w:r>
        <w:t xml:space="preserve"> </w:t>
      </w:r>
      <w:r>
        <w:t xml:space="preserve">Občanské tribunály řeší zneužívání pravomocí a kriminalitu veřejných služebníků; 14 tribunů lidu, jeden za kraj – § 3, 6.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Hlava 1 OIPD, čl. 12:</w:t>
      </w:r>
      <w:r>
        <w:t xml:space="preserve"> </w:t>
      </w:r>
      <w:r>
        <w:t xml:space="preserve">stíhání zneužití pravomocí VS a dočasná izolace viníků do řádného soudu – § 11, 12 odst. 3.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 OIPD (Konec zločinu):</w:t>
      </w:r>
      <w:r>
        <w:t xml:space="preserve"> </w:t>
      </w:r>
      <w:r>
        <w:t xml:space="preserve">14 tribunů lidu volených občany – § 3.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Východiska, bod 40:</w:t>
      </w:r>
      <w:r>
        <w:t xml:space="preserve"> </w:t>
      </w:r>
      <w:r>
        <w:t xml:space="preserve">vymáhání škod způsobených veřejnými služebníky – § 13.</w:t>
      </w:r>
    </w:p>
    <w:bookmarkEnd w:id="29"/>
    <w:bookmarkStart w:id="30" w:name="doplnění-a-odchylky"/>
    <w:p>
      <w:pPr>
        <w:pStyle w:val="Heading3"/>
        <w:spacing w:after="40"/>
        <w:ind w:left="454"/>
      </w:pPr>
      <w:r>
        <w:t xml:space="preserve">3. Doplnění a odchylky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  <w:tblBorders>
          <w:top w:val="single" w:sz="4" w:color="B7C9C9"/>
          <w:left w:val="single" w:sz="4" w:color="B7C9C9"/>
          <w:bottom w:val="single" w:sz="4" w:color="B7C9C9"/>
          <w:right w:val="single" w:sz="4" w:color="B7C9C9"/>
          <w:insideH w:val="single" w:sz="4" w:color="B7C9C9"/>
          <w:insideV w:val="single" w:sz="4" w:color="B7C9C9"/>
        </w:tblBorders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Téma</w:t>
            </w:r>
          </w:p>
        </w:tc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Autor</w:t>
            </w:r>
          </w:p>
        </w:tc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Návrh</w:t>
            </w:r>
          </w:p>
        </w:tc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Důvod</w:t>
            </w:r>
          </w:p>
        </w:tc>
      </w:tr>
      <w:tr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Dočasná izolace viníků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tribunál „izoluje“ viníky do soudu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jen pozastavení funkce rozhodnutím soudu (§ 12 odst. 3)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Zbavit svobody nebo funkce může jen soud (čl. 81 ústavy, presumpce neviny čl. 80 odst. 3).</w:t>
            </w:r>
          </w:p>
        </w:tc>
      </w:tr>
      <w:tr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Odvolání na návrh tribuna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neuvedeno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návrh se zveřejní, referendum na základě petice (§ 12 odst. 2)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Čl. 22 ústavy.</w:t>
            </w:r>
          </w:p>
        </w:tc>
      </w:tr>
      <w:tr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Veřejný ochránce práv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neuvedeno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agenda přechází na tribuny (§ 15)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Dvojí instituce by byla nadbytečná.</w:t>
            </w:r>
          </w:p>
        </w:tc>
      </w:tr>
    </w:tbl>
    <w:bookmarkEnd w:id="30"/>
    <w:bookmarkStart w:id="31" w:name="soulad-s-ústavou-a-étosem"/>
    <w:p>
      <w:pPr>
        <w:pStyle w:val="Heading3"/>
        <w:spacing w:after="40"/>
        <w:ind w:left="454"/>
      </w:pPr>
      <w:r>
        <w:t xml:space="preserve">4. Soulad s ústavou a étosem</w:t>
      </w:r>
    </w:p>
    <w:p>
      <w:pPr>
        <w:pStyle w:val="FirstParagraph"/>
      </w:pPr>
      <w:r>
        <w:t xml:space="preserve">Zákon naplňuje čl. 22, 29, 81, 84, 85, 88 a 92 ústavy. Odpovídá étosu: není moci bez odpovědnosti, nikdo nestojí nad zákonem, pravda patří občanům.</w:t>
      </w:r>
    </w:p>
    <w:bookmarkEnd w:id="31"/>
    <w:bookmarkStart w:id="32" w:name="dopady"/>
    <w:p>
      <w:pPr>
        <w:pStyle w:val="Heading3"/>
        <w:spacing w:after="40"/>
        <w:ind w:left="454"/>
      </w:pPr>
      <w:r>
        <w:t xml:space="preserve">5. Dopady</w:t>
      </w:r>
    </w:p>
    <w:p>
      <w:pPr>
        <w:pStyle w:val="FirstParagraph"/>
      </w:pPr>
      <w:r>
        <w:t xml:space="preserve">Kancelář tribunálů (14 tribunů, nejvýše 70 spolupracovníků a 20 zaměstnanců) bude zhruba stejně nákladná jako dosavadní Kancelář veřejného ochránce práv, kterou nahradí.</w:t>
      </w:r>
    </w:p>
    <w:bookmarkEnd w:id="32"/>
    <w:bookmarkEnd w:id="33"/>
    <w:bookmarkStart w:id="34" w:name="b.-zvláštní-část"/>
    <w:p>
      <w:pPr>
        <w:pStyle w:val="Heading2"/>
        <w:jc w:val="center"/>
      </w:pPr>
      <w:r>
        <w:t xml:space="preserve">B. Zvláštní část</w:t>
      </w:r>
    </w:p>
    <w:p>
      <w:pPr>
        <w:pStyle w:val="FirstParagraph"/>
      </w:pPr>
      <w:r>
        <w:rPr>
          <w:bCs/>
          <w:b/>
        </w:rPr>
        <w:t xml:space="preserve">K § 1 a 2:</w:t>
      </w:r>
      <w:r>
        <w:t xml:space="preserve"> </w:t>
      </w:r>
      <w:r>
        <w:t xml:space="preserve">Poslání tribunálů.</w:t>
      </w:r>
    </w:p>
    <w:p>
      <w:pPr>
        <w:pStyle w:val="BodyText"/>
      </w:pPr>
      <w:r>
        <w:rPr>
          <w:bCs/>
          <w:b/>
        </w:rPr>
        <w:t xml:space="preserve">K § 3 až 5:</w:t>
      </w:r>
      <w:r>
        <w:t xml:space="preserve"> </w:t>
      </w:r>
      <w:r>
        <w:t xml:space="preserve">Volba, sídlo, kanceláře a nezávislost tribunů.</w:t>
      </w:r>
    </w:p>
    <w:p>
      <w:pPr>
        <w:pStyle w:val="BodyText"/>
      </w:pPr>
      <w:r>
        <w:rPr>
          <w:bCs/>
          <w:b/>
        </w:rPr>
        <w:t xml:space="preserve">K § 6 a 7:</w:t>
      </w:r>
      <w:r>
        <w:t xml:space="preserve"> </w:t>
      </w:r>
      <w:r>
        <w:t xml:space="preserve">Podněty a ochrana oznamovatelů.</w:t>
      </w:r>
    </w:p>
    <w:p>
      <w:pPr>
        <w:pStyle w:val="BodyText"/>
      </w:pPr>
      <w:r>
        <w:rPr>
          <w:bCs/>
          <w:b/>
        </w:rPr>
        <w:t xml:space="preserve">K § 8 až 10:</w:t>
      </w:r>
      <w:r>
        <w:t xml:space="preserve"> </w:t>
      </w:r>
      <w:r>
        <w:t xml:space="preserve">Šetření, veřejné slyšení, zpráva.</w:t>
      </w:r>
    </w:p>
    <w:p>
      <w:pPr>
        <w:pStyle w:val="BodyText"/>
      </w:pPr>
      <w:r>
        <w:rPr>
          <w:bCs/>
          <w:b/>
        </w:rPr>
        <w:t xml:space="preserve">K § 11 až 13:</w:t>
      </w:r>
      <w:r>
        <w:t xml:space="preserve"> </w:t>
      </w:r>
      <w:r>
        <w:t xml:space="preserve">Návrhy na trestní a kárné řízení, odvolání a náhrada škody.</w:t>
      </w:r>
    </w:p>
    <w:p>
      <w:pPr>
        <w:pStyle w:val="BodyText"/>
      </w:pPr>
      <w:r>
        <w:rPr>
          <w:bCs/>
          <w:b/>
        </w:rPr>
        <w:t xml:space="preserve">K § 14:</w:t>
      </w:r>
      <w:r>
        <w:t xml:space="preserve"> </w:t>
      </w:r>
      <w:r>
        <w:t xml:space="preserve">Tribunál jako celek.</w:t>
      </w:r>
    </w:p>
    <w:p>
      <w:pPr>
        <w:pStyle w:val="BodyText"/>
      </w:pPr>
      <w:r>
        <w:rPr>
          <w:bCs/>
          <w:b/>
        </w:rPr>
        <w:t xml:space="preserve">K § 15 až 17:</w:t>
      </w:r>
      <w:r>
        <w:t xml:space="preserve"> </w:t>
      </w:r>
      <w:r>
        <w:t xml:space="preserve">Přechodná ustanovení, zrušení a účinnost.</w:t>
      </w:r>
    </w:p>
    <w:p>
      <w:pPr>
        <w:pStyle w:val="BodyText"/>
      </w:pPr>
      <w:r>
        <w:rPr>
          <w:iCs/>
          <w:i/>
        </w:rPr>
        <w:t xml:space="preserve">Zdroje: Občanská ústava ČR (OIPD), čl. 22, 29, 80, 81, 84, 85, 88, 92, 122 (forumlidu.cz/oipd/navrh-ustavy); Fórum lidu – OIPD: Východiska (body 35, 40), Hlava 1 (čl. 12), program „Vraťme moc lidem“; seznam zákonů (č. 24); zákon č. 349/1999 Sb.</w:t>
      </w:r>
    </w:p>
    <w:bookmarkEnd w:id="34"/>
    <w:bookmarkEnd w:id="35"/>
    <w:sectPr>
      <w:footerReference w:type="default" r:id="rId9"/>
      <w:pgSz w:w="11906" w:h="16838"/>
      <w:pgMar w:left="1247" w:right="1247" w:top="1134" w:bottom="10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rlito" w:hAnsi="Carlito"/>
        <w:color w:val="555555"/>
        <w:sz w:val="16"/>
      </w:rPr>
      <w:t xml:space="preserve">Návrh zákona č. 24 – Zákon o Občanských tribunálech · strana </w:t>
    </w:r>
    <w:r>
      <w:rPr>
        <w:rFonts w:ascii="Carlito" w:hAnsi="Carlito"/>
        <w:color w:val="555555"/>
        <w:sz w:val="16"/>
      </w:rPr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before="0" w:after="80" w:line="269" w:lineRule="auto"/>
      <w:jc w:val="both"/>
    </w:pPr>
    <w:rPr>
      <w:rFonts w:ascii="Carlito" w:hAnsi="Carlito" w:cs="Carlito" w:eastAsia="Carlito"/>
      <w:sz w:val="22"/>
    </w:rPr>
  </w:style>
  <w:style w:styleId="BodyText" w:type="paragraph">
    <w:name w:val="Body Text"/>
    <w:basedOn w:val="Normal"/>
    <w:link w:val="BodyTextChar"/>
    <w:pPr>
      <w:spacing w:after="80" w:before="0" w:line="269" w:lineRule="auto"/>
      <w:jc w:val="both"/>
    </w:pPr>
    <w:qFormat/>
    <w:rPr>
      <w:rFonts w:ascii="Carlito" w:hAnsi="Carlito" w:cs="Carlito" w:eastAsia="Carlito"/>
      <w:sz w:val="22"/>
    </w:rPr>
  </w:style>
  <w:style w:customStyle="1" w:styleId="FirstParagraph" w:type="paragraph">
    <w:name w:val="First Paragraph"/>
    <w:basedOn w:val="BodyText"/>
    <w:next w:val="BodyText"/>
    <w:qFormat/>
    <w:pPr>
      <w:spacing w:before="0" w:after="80" w:line="269" w:lineRule="auto"/>
      <w:jc w:val="both"/>
    </w:pPr>
    <w:rPr>
      <w:rFonts w:ascii="Carlito" w:hAnsi="Carlito" w:cs="Carlito" w:eastAsia="Carlito"/>
      <w:sz w:val="22"/>
    </w:rPr>
  </w:style>
  <w:style w:customStyle="1" w:styleId="Compact" w:type="paragraph">
    <w:name w:val="Compact"/>
    <w:basedOn w:val="BodyText"/>
    <w:qFormat/>
    <w:pPr>
      <w:spacing w:after="80" w:before="0" w:line="269" w:lineRule="auto"/>
      <w:jc w:val="both"/>
    </w:pPr>
    <w:rPr>
      <w:rFonts w:ascii="Carlito" w:hAnsi="Carlito" w:cs="Carlito" w:eastAsia="Carlito"/>
      <w:sz w:val="22"/>
    </w:rPr>
  </w:style>
  <w:style w:styleId="Title" w:type="paragraph">
    <w:name w:val="Title"/>
    <w:basedOn w:val="Normal"/>
    <w:next w:val="BodyText"/>
    <w:qFormat/>
    <w:pPr>
      <w:keepNext/>
      <w:keepLines/>
      <w:spacing w:after="120" w:before="480"/>
      <w:jc w:val="center"/>
    </w:pPr>
    <w:rPr>
      <w:rFonts w:ascii="Carlito" w:hAnsi="Carlito" w:cs="Carlito" w:eastAsia="Carlito"/>
      <w:b/>
      <w:bCs/>
      <w:color w:val="114749"/>
      <w:sz w:val="44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80" w:before="0"/>
      <w:jc w:val="center"/>
    </w:pPr>
    <w:rPr>
      <w:rFonts w:ascii="Carlito" w:hAnsi="Carlito" w:cs="Carlito" w:eastAsia="Carlito"/>
      <w:i/>
      <w:color w:val="B33A2E"/>
      <w:sz w:val="24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spacing w:before="0" w:after="280"/>
      <w:jc w:val="center"/>
    </w:pPr>
    <w:rPr>
      <w:rFonts w:ascii="Carlito" w:hAnsi="Carlito" w:cs="Carlito" w:eastAsia="Carlito"/>
      <w:color w:val="555555"/>
      <w:sz w:val="20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160" w:before="280"/>
      <w:outlineLvl w:val="0"/>
    </w:pPr>
    <w:rPr>
      <w:rFonts w:ascii="Carlito" w:hAnsi="Carlito" w:cs="Carlito" w:eastAsia="Carlito"/>
      <w:b/>
      <w:bCs/>
      <w:color w:val="114749"/>
      <w:sz w:val="28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80" w:before="200"/>
      <w:outlineLvl w:val="1"/>
    </w:pPr>
    <w:rPr>
      <w:rFonts w:ascii="Carlito" w:hAnsi="Carlito" w:cs="Carlito" w:eastAsia="Carlito"/>
      <w:b/>
      <w:bCs/>
      <w:color w:val="B33A2E"/>
      <w:sz w:val="24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60" w:before="160"/>
      <w:outlineLvl w:val="2"/>
    </w:pPr>
    <w:rPr>
      <w:rFonts w:ascii="Carlito" w:hAnsi="Carlito" w:cs="Carlito" w:eastAsia="Carlito"/>
      <w:b/>
      <w:bCs/>
      <w:color w:val="114749"/>
      <w:sz w:val="22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 zákona č. 24 – Zákon o Občanských tribunálech</dc:title>
  <dc:creator>Fórum lidu</dc:creator>
  <cp:keywords/>
  <dcterms:created xsi:type="dcterms:W3CDTF">2026-10-27T05:34:51Z</dcterms:created>
  <dcterms:modified xsi:type="dcterms:W3CDTF">2026-10-27T05:34:51Z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Fórum lidu · pracovní návrh ze dne 27. 10. 2026</vt:lpwstr>
  </property>
  <property fmtid="{D5CDD505-2E9C-101B-9397-08002B2CF9AE}" pid="3" name="subtitle">
    <vt:lpwstr>Návrh zákona č. 24 podle seznamu zákonů Fóra lidu – prováděcí zákon k Občanské ústavě ČR (OIPD)</vt:lpwstr>
  </property>
</Properties>
</file>