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Zákon</w:t>
      </w:r>
      <w:r>
        <w:t xml:space="preserve"> </w:t>
      </w:r>
      <w:r>
        <w:t xml:space="preserve">o</w:t>
      </w:r>
      <w:r>
        <w:t xml:space="preserve"> </w:t>
      </w:r>
      <w:r>
        <w:t xml:space="preserve">veřejné</w:t>
      </w:r>
      <w:r>
        <w:t xml:space="preserve"> </w:t>
      </w:r>
      <w:r>
        <w:t xml:space="preserve">službě</w:t>
      </w:r>
      <w:r>
        <w:t xml:space="preserve"> </w:t>
      </w:r>
      <w:r>
        <w:t xml:space="preserve">výkonné</w:t>
      </w:r>
    </w:p>
    <w:p>
      <w:pPr>
        <w:pStyle w:val="Subtitle"/>
      </w:pPr>
      <w:r>
        <w:t xml:space="preserve">Návrh</w:t>
      </w:r>
      <w:r>
        <w:t xml:space="preserve"> </w:t>
      </w:r>
      <w:r>
        <w:t xml:space="preserve">zákona</w:t>
      </w:r>
      <w:r>
        <w:t xml:space="preserve"> </w:t>
      </w:r>
      <w:r>
        <w:t xml:space="preserve">č.</w:t>
      </w:r>
      <w:r>
        <w:t xml:space="preserve"> </w:t>
      </w:r>
      <w:r>
        <w:t xml:space="preserve">17</w:t>
      </w:r>
      <w:r>
        <w:t xml:space="preserve"> </w:t>
      </w:r>
      <w:r>
        <w:t xml:space="preserve">podle</w:t>
      </w:r>
      <w:r>
        <w:t xml:space="preserve"> </w:t>
      </w:r>
      <w:r>
        <w:t xml:space="preserve">seznamu</w:t>
      </w:r>
      <w:r>
        <w:t xml:space="preserve"> </w:t>
      </w:r>
      <w:r>
        <w:t xml:space="preserve">zákonů</w:t>
      </w:r>
      <w:r>
        <w:t xml:space="preserve"> </w:t>
      </w:r>
      <w:r>
        <w:t xml:space="preserve">Fóra</w:t>
      </w:r>
      <w:r>
        <w:t xml:space="preserve"> </w:t>
      </w:r>
      <w:r>
        <w:t xml:space="preserve">lidu</w:t>
      </w:r>
      <w:r>
        <w:t xml:space="preserve"> </w:t>
      </w:r>
      <w:r>
        <w:t xml:space="preserve">–</w:t>
      </w:r>
      <w:r>
        <w:t xml:space="preserve"> </w:t>
      </w:r>
      <w:r>
        <w:t xml:space="preserve">prováděcí</w:t>
      </w:r>
      <w:r>
        <w:t xml:space="preserve"> </w:t>
      </w:r>
      <w:r>
        <w:t xml:space="preserve">zákon</w:t>
      </w:r>
      <w:r>
        <w:t xml:space="preserve"> </w:t>
      </w:r>
      <w:r>
        <w:t xml:space="preserve">k</w:t>
      </w:r>
      <w:r>
        <w:t xml:space="preserve"> </w:t>
      </w:r>
      <w:r>
        <w:t xml:space="preserve">Občanské</w:t>
      </w:r>
      <w:r>
        <w:t xml:space="preserve"> </w:t>
      </w:r>
      <w:r>
        <w:t xml:space="preserve">ústavě</w:t>
      </w:r>
      <w:r>
        <w:t xml:space="preserve"> </w:t>
      </w:r>
      <w:r>
        <w:t xml:space="preserve">ČR</w:t>
      </w:r>
      <w:r>
        <w:t xml:space="preserve"> </w:t>
      </w:r>
      <w:r>
        <w:t xml:space="preserve">(OIPD)</w:t>
      </w:r>
    </w:p>
    <w:p>
      <w:pPr>
        <w:pStyle w:val="Date"/>
      </w:pPr>
      <w:r>
        <w:t xml:space="preserve">Fórum</w:t>
      </w:r>
      <w:r>
        <w:t xml:space="preserve"> </w:t>
      </w:r>
      <w:r>
        <w:t xml:space="preserve">lidu</w:t>
      </w:r>
      <w:r>
        <w:t xml:space="preserve"> </w:t>
      </w:r>
      <w:r>
        <w:t xml:space="preserve">·</w:t>
      </w:r>
      <w:r>
        <w:t xml:space="preserve"> </w:t>
      </w:r>
      <w:r>
        <w:t xml:space="preserve">pracovní</w:t>
      </w:r>
      <w:r>
        <w:t xml:space="preserve"> </w:t>
      </w:r>
      <w:r>
        <w:t xml:space="preserve">návrh</w:t>
      </w:r>
      <w:r>
        <w:t xml:space="preserve"> </w:t>
      </w:r>
      <w:r>
        <w:t xml:space="preserve">ze</w:t>
      </w:r>
      <w:r>
        <w:t xml:space="preserve"> </w:t>
      </w:r>
      <w:r>
        <w:t xml:space="preserve">dne</w:t>
      </w:r>
      <w:r>
        <w:t xml:space="preserve"> </w:t>
      </w:r>
      <w:r>
        <w:t xml:space="preserve">26.</w:t>
      </w:r>
      <w:r>
        <w:t xml:space="preserve"> </w:t>
      </w:r>
      <w:r>
        <w:t xml:space="preserve">10.</w:t>
      </w:r>
      <w:r>
        <w:t xml:space="preserve"> </w:t>
      </w:r>
      <w:r>
        <w:t xml:space="preserve">2026</w:t>
      </w:r>
    </w:p>
    <w:p>
      <w:pPr>
        <w:pStyle w:val="FirstParagraph"/>
      </w:pPr>
      <w:r>
        <w:rPr>
          <w:bCs/>
          <w:b/>
        </w:rPr>
        <w:t xml:space="preserve">Postavení návrhu:</w:t>
      </w:r>
      <w:r>
        <w:t xml:space="preserve"> </w:t>
      </w:r>
      <w:r>
        <w:t xml:space="preserve">Zákon provádí čl. 63–68 a 66 odst. 3 Občanské ústavy. Upravuje Ministerstvo vnitra a Veřejnou službu výkonnou, která zahrnuje policii, záchranné sbory, civilní ochranu a vězeňskou stráž. Oprávnění policie upravuje zákon o policii (č. 11), civilní ochranu zákon o Národní domobraně a civilní ochraně (č. 9), krizové stavy zákon krizový (č. 8) a výkon trestu zákon o soudnictví a vězeňství (č. 12). Vychází z autorovy Hlavy 4 (čl. 78, 81) a z Definice č. 25 na forumlidu.cz/oipd. Schvalují jej občané v referendu.</w:t>
      </w:r>
    </w:p>
    <w:bookmarkStart w:id="25" w:name="návrh"/>
    <w:p>
      <w:pPr>
        <w:pStyle w:val="Heading1"/>
        <w:jc w:val="center"/>
      </w:pPr>
      <w:r>
        <w:t xml:space="preserve">NÁVRH</w:t>
      </w:r>
    </w:p>
    <w:p>
      <w:pPr>
        <w:pStyle w:val="FirstParagraph"/>
        <w:jc w:val="center"/>
      </w:pPr>
      <w:r>
        <w:rPr>
          <w:bCs/>
          <w:b/>
        </w:rPr>
        <w:t xml:space="preserve">ZÁKON</w:t>
      </w:r>
    </w:p>
    <w:p>
      <w:pPr>
        <w:pStyle w:val="BodyText"/>
        <w:jc w:val="center"/>
      </w:pPr>
      <w:r>
        <w:t xml:space="preserve">ze dne ……… 20..</w:t>
      </w:r>
    </w:p>
    <w:p>
      <w:pPr>
        <w:pStyle w:val="BodyText"/>
        <w:jc w:val="center"/>
      </w:pPr>
      <w:r>
        <w:rPr>
          <w:bCs/>
          <w:b/>
        </w:rPr>
        <w:t xml:space="preserve">o veřejné službě výkonné</w:t>
      </w:r>
    </w:p>
    <w:p>
      <w:pPr>
        <w:pStyle w:val="BodyText"/>
        <w:jc w:val="center"/>
      </w:pPr>
      <w:r>
        <w:t xml:space="preserve">Občané České republiky se v referendu usnesli na tomto zákoně:</w:t>
      </w:r>
    </w:p>
    <w:bookmarkStart w:id="20" w:name="část-první-základní-ustanovení"/>
    <w:p>
      <w:pPr>
        <w:pStyle w:val="Heading2"/>
        <w:jc w:val="center"/>
      </w:pPr>
      <w:r>
        <w:t xml:space="preserve">ČÁST PRVNÍ – ZÁKLADNÍ USTANOVENÍ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 – Předmět úpravy</w:t>
      </w:r>
    </w:p>
    <w:p>
      <w:pPr>
        <w:pStyle w:val="BodyText"/>
      </w:pPr>
      <w:r>
        <w:t xml:space="preserve">Tento zákon upravuje poslání, organizaci, řízení a kontrolu Ministerstva vnitra a Veřejné služby výkonné.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2 – Poslání</w:t>
      </w:r>
    </w:p>
    <w:p>
      <w:pPr>
        <w:pStyle w:val="BodyText"/>
      </w:pPr>
      <w:r>
        <w:t xml:space="preserve">(1) Veřejná služba výkonná chrání životy, zdraví, svobodu a majetek občanů před trestnou činností, požáry, živelními pohromami a haváriemi a zajišťuje bezpečné střežení vězněných osob.</w:t>
      </w:r>
    </w:p>
    <w:p>
      <w:pPr>
        <w:pStyle w:val="BodyText"/>
      </w:pPr>
      <w:r>
        <w:t xml:space="preserve">(2) Veřejná služba výkonná slouží občanům; nikdy ji nelze použít proti pokojně jednajícím občanům (čl. 86 odst. 2 Občanské ústavy České republiky, dále jen „ústava“).</w:t>
      </w:r>
    </w:p>
    <w:p>
      <w:pPr>
        <w:pStyle w:val="BodyText"/>
      </w:pPr>
      <w:r>
        <w:t xml:space="preserve">(3) Národní domobrana ani komunální domobrany nejsou součástí Veřejné služby výkonné a nepodléhají ministru vnitra.</w:t>
      </w:r>
    </w:p>
    <w:bookmarkEnd w:id="20"/>
    <w:bookmarkStart w:id="21" w:name="část-druhá-ministerstvo-vnitra"/>
    <w:p>
      <w:pPr>
        <w:pStyle w:val="Heading2"/>
        <w:jc w:val="center"/>
      </w:pPr>
      <w:r>
        <w:t xml:space="preserve">ČÁST DRUHÁ – MINISTERSTVO VNITRA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3</w:t>
      </w:r>
    </w:p>
    <w:p>
      <w:pPr>
        <w:pStyle w:val="BodyText"/>
      </w:pPr>
      <w:r>
        <w:t xml:space="preserve">(1) Ministerstvo vnitra zadává Veřejné službě výkonné úkoly podle vůle občanů, dozírá na plnění jejího poslání a odpovídá za její hospodárnost (čl. 64 odst. 1 ústavy). Do jednotlivých zákroků, vyšetřování a záchranných akcí nezasahuje.</w:t>
      </w:r>
    </w:p>
    <w:p>
      <w:pPr>
        <w:pStyle w:val="BodyText"/>
      </w:pPr>
      <w:r>
        <w:t xml:space="preserve">(2) Ministra vnitra volí rozhodující občané v celostátní přímé volbě na 4 roky (čl. 64 odst. 2 ústavy).</w:t>
      </w:r>
    </w:p>
    <w:p>
      <w:pPr>
        <w:pStyle w:val="BodyText"/>
      </w:pPr>
      <w:r>
        <w:t xml:space="preserve">(3) Ministerstvo má nejvýše 33 zaměstnanců (čl. 64 odst. 3 ústavy).</w:t>
      </w:r>
    </w:p>
    <w:p>
      <w:pPr>
        <w:pStyle w:val="BodyText"/>
      </w:pPr>
      <w:r>
        <w:t xml:space="preserve">(4) Ministr každý rok předloží výroční zprávu o Veřejné službě výkonné, včetně statistik zákroků, použití donucovacích prostředků, stížností, požárů, záchranných akcí a útěků, pro občanské hodnocení podle čl. 90 ústavy.</w:t>
      </w:r>
    </w:p>
    <w:bookmarkEnd w:id="21"/>
    <w:bookmarkStart w:id="22" w:name="část-třetí-veřejná-služba-výkonná"/>
    <w:p>
      <w:pPr>
        <w:pStyle w:val="Heading2"/>
        <w:jc w:val="center"/>
      </w:pPr>
      <w:r>
        <w:t xml:space="preserve">ČÁST TŘETÍ – VEŘEJNÁ SLUŽBA VÝKONNÁ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4 – Složky</w:t>
      </w:r>
    </w:p>
    <w:p>
      <w:pPr>
        <w:pStyle w:val="BodyText"/>
      </w:pPr>
      <w:r>
        <w:t xml:space="preserve">Veřejnou službu výkonnou tvoří (čl. 66 odst. 3 ústavy)</w:t>
      </w:r>
    </w:p>
    <w:p>
      <w:pPr>
        <w:pStyle w:val="BodyText"/>
        <w:spacing w:after="40"/>
        <w:ind w:left="454"/>
      </w:pPr>
      <w:r>
        <w:t xml:space="preserve">a) státní policie podle zákona o policii,</w:t>
      </w:r>
    </w:p>
    <w:p>
      <w:pPr>
        <w:pStyle w:val="BodyText"/>
        <w:spacing w:after="40"/>
        <w:ind w:left="454"/>
      </w:pPr>
      <w:r>
        <w:t xml:space="preserve">b) záchranné sbory, jimiž jsou hasičský záchranný sbor a jeho krajské útvary,</w:t>
      </w:r>
    </w:p>
    <w:p>
      <w:pPr>
        <w:pStyle w:val="BodyText"/>
        <w:spacing w:after="40"/>
        <w:ind w:left="454"/>
      </w:pPr>
      <w:r>
        <w:t xml:space="preserve">c) civilní ochrana podle zákona o Národní domobraně a civilní ochraně,</w:t>
      </w:r>
    </w:p>
    <w:p>
      <w:pPr>
        <w:pStyle w:val="BodyText"/>
        <w:spacing w:after="40"/>
        <w:ind w:left="454"/>
      </w:pPr>
      <w:r>
        <w:t xml:space="preserve">d) vězeňská stráž, která střeží věznice a vazební věznice spravované Veřejnou službou soudní.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5 – Ředitel</w:t>
      </w:r>
    </w:p>
    <w:p>
      <w:pPr>
        <w:pStyle w:val="BodyText"/>
      </w:pPr>
      <w:r>
        <w:t xml:space="preserve">(1) Veřejnou službu výkonnou řídí ředitel, kterého volí rozhodující občané v celostátní přímé volbě, kdykoli je funkce uprázdněna (čl. 65 odst. 2 ústavy). Ředitel osobně odpovídá za řádný chod služby.</w:t>
      </w:r>
    </w:p>
    <w:p>
      <w:pPr>
        <w:pStyle w:val="BodyText"/>
      </w:pPr>
      <w:r>
        <w:t xml:space="preserve">(2) Ministr vnitra nebo předseda Národní rady může navrhnout odvolání ředitele; o odvolání rozhodují občané v referendu (čl. 65 odst. 4 ústavy).</w:t>
      </w:r>
    </w:p>
    <w:p>
      <w:pPr>
        <w:pStyle w:val="BodyText"/>
      </w:pPr>
      <w:r>
        <w:t xml:space="preserve">(3) Nejvyšším velitelem policie je předseda Národní rady (čl. 58 odst. 2 ústavy); velí prostřednictvím ředitele státní policie a odpovídá za své rozkazy osobně.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6 – Rozhodující zaměstnanci</w:t>
      </w:r>
    </w:p>
    <w:p>
      <w:pPr>
        <w:pStyle w:val="BodyText"/>
      </w:pPr>
      <w:r>
        <w:t xml:space="preserve">(1) Rozhodujících zaměstnanců Veřejné služby výkonné je nejvýše 66 (čl. 65 odst. 3 ústavy). Jsou jimi</w:t>
      </w:r>
    </w:p>
    <w:p>
      <w:pPr>
        <w:pStyle w:val="BodyText"/>
        <w:spacing w:after="40"/>
        <w:ind w:left="454"/>
      </w:pPr>
      <w:r>
        <w:t xml:space="preserve">a) ředitel Veřejné služby výkonné,</w:t>
      </w:r>
    </w:p>
    <w:p>
      <w:pPr>
        <w:pStyle w:val="BodyText"/>
        <w:spacing w:after="40"/>
        <w:ind w:left="454"/>
      </w:pPr>
      <w:r>
        <w:t xml:space="preserve">b) ředitel státní policie a vedoucí jejích specializovaných útvarů (kriminálního, hospodářského a protikorupčního, dopravního, protiteroristického a cizineckého),</w:t>
      </w:r>
    </w:p>
    <w:p>
      <w:pPr>
        <w:pStyle w:val="BodyText"/>
        <w:spacing w:after="40"/>
        <w:ind w:left="454"/>
      </w:pPr>
      <w:r>
        <w:t xml:space="preserve">c) generální ředitel záchranných sborů a 14 krajských velitelů,</w:t>
      </w:r>
    </w:p>
    <w:p>
      <w:pPr>
        <w:pStyle w:val="BodyText"/>
        <w:spacing w:after="40"/>
        <w:ind w:left="454"/>
      </w:pPr>
      <w:r>
        <w:t xml:space="preserve">d) velitel civilní ochrany a 3 zemští velitelé,</w:t>
      </w:r>
    </w:p>
    <w:p>
      <w:pPr>
        <w:pStyle w:val="BodyText"/>
        <w:spacing w:after="40"/>
        <w:ind w:left="454"/>
      </w:pPr>
      <w:r>
        <w:t xml:space="preserve">e) velitel vězeňské stráže,</w:t>
      </w:r>
    </w:p>
    <w:p>
      <w:pPr>
        <w:pStyle w:val="BodyText"/>
        <w:spacing w:after="40"/>
        <w:ind w:left="454"/>
      </w:pPr>
      <w:r>
        <w:t xml:space="preserve">f) další vedoucí, které stanoví nařízení Národní rady, pokud celkový počet nepřekročí 66.</w:t>
      </w:r>
    </w:p>
    <w:p>
      <w:pPr>
        <w:pStyle w:val="BodyText"/>
      </w:pPr>
      <w:r>
        <w:t xml:space="preserve">(2) Rozhodující zaměstnance volí rozhodující občané republiky, krajští a zemští velitelé občané kraje nebo země, podle volebního zákona. Lze je kdykoli odvolat.</w:t>
      </w:r>
    </w:p>
    <w:p>
      <w:pPr>
        <w:pStyle w:val="BodyText"/>
      </w:pPr>
      <w:r>
        <w:t xml:space="preserve">(3) Ostatní zaměstnanci, včetně policistů, hasičů, příslušníků civilní ochrany a vězeňské stráže, se vybírají ve veřejné soutěži a nemají pravomoc rozhodovat o právech a povinnostech občanů mimo oprávnění, která jim při zákroku dává zákon.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7 – Záchranné sbory</w:t>
      </w:r>
    </w:p>
    <w:p>
      <w:pPr>
        <w:pStyle w:val="BodyText"/>
      </w:pPr>
      <w:r>
        <w:t xml:space="preserve">(1) Záchranné sbory provádějí hašení požárů, záchranné a likvidační práce, pomoc při živelních pohromách a haváriích a spolupracují se zdravotnickou záchrannou službou.</w:t>
      </w:r>
    </w:p>
    <w:p>
      <w:pPr>
        <w:pStyle w:val="BodyText"/>
      </w:pPr>
      <w:r>
        <w:t xml:space="preserve">(2) Jednotky sborů dobrovolných hasičů obcí zůstávají službou obcí; záchranné sbory je podporují výcvikem a technikou. Obec může svěřit požární ochranu záchranným sborům nebo ji od nich převzít podle zákona o územně-správním uspořádání.</w:t>
      </w:r>
    </w:p>
    <w:p>
      <w:pPr>
        <w:pStyle w:val="BodyText"/>
      </w:pPr>
      <w:r>
        <w:t xml:space="preserve">(3) Krajský velitel odpovídá osobně za to, že jednotky dorazí na místo zásahu v kterékoli části kraje do 20 minut od ohlášení, s výjimkou mimořádných okolností.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8 – Vězeňská stráž</w:t>
      </w:r>
    </w:p>
    <w:p>
      <w:pPr>
        <w:pStyle w:val="BodyText"/>
      </w:pPr>
      <w:r>
        <w:t xml:space="preserve">Vězeňská stráž střeží věznice, eskortuje vězněné osoby, zajišťuje pořádek ve věznicích a ostrahu budov soudů a státních zastupitelství. Je vázána pokyny ředitele věznice ve věcech zacházení s vězněnými a dozorem soudce a tribuna lidu podle zákona o soudnictví a vězeňství.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9 – Spolupráce</w:t>
      </w:r>
    </w:p>
    <w:p>
      <w:pPr>
        <w:pStyle w:val="BodyText"/>
      </w:pPr>
      <w:r>
        <w:t xml:space="preserve">(1) Složky Veřejné služby výkonné spolupracují se zdravotnickou záchrannou službou, s Národní domobranou, s komunálními domobranami, s obecními a oblastními policiemi a s orgány krizového řízení podle zákona krizového.</w:t>
      </w:r>
    </w:p>
    <w:p>
      <w:pPr>
        <w:pStyle w:val="BodyText"/>
      </w:pPr>
      <w:r>
        <w:t xml:space="preserve">(2) Komunální domobrany a jejich velitelé mají právo přednostní audience u kteréhokoli rozhodujícího zaměstnance Veřejné služby výkonné.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10 – Tísňová linka</w:t>
      </w:r>
    </w:p>
    <w:p>
      <w:pPr>
        <w:pStyle w:val="BodyText"/>
      </w:pPr>
      <w:r>
        <w:t xml:space="preserve">Veřejná služba výkonná provozuje jednotné tísňové linky 112, 150 a 158 a bezplatné aplikace k jejich přivolání; hovory se nahrávají a uchovávají 1 rok.</w:t>
      </w:r>
    </w:p>
    <w:bookmarkEnd w:id="22"/>
    <w:bookmarkStart w:id="23" w:name="část-čtvrtá-otevřenost-a-odpovědnost"/>
    <w:p>
      <w:pPr>
        <w:pStyle w:val="Heading2"/>
        <w:jc w:val="center"/>
      </w:pPr>
      <w:r>
        <w:t xml:space="preserve">ČÁST ČTVRTÁ – OTEVŘENOST A ODPOVĚDNOST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11 – Otevřenost</w:t>
      </w:r>
    </w:p>
    <w:p>
      <w:pPr>
        <w:pStyle w:val="BodyText"/>
      </w:pPr>
      <w:r>
        <w:t xml:space="preserve">(1) Veřejná služba výkonná vede veřejnou databázi o své struktuře, pravomocích, odpovědnosti jednotlivých služebníků, hospodaření a výsledcích, včetně služebních kontaktů (čl. 68 ústavy). Údaje, jejichž zveřejnění by ohrozilo probíhající vyšetřování nebo život, se zveřejní, jakmile důvod pomine.</w:t>
      </w:r>
    </w:p>
    <w:p>
      <w:pPr>
        <w:pStyle w:val="BodyText"/>
      </w:pPr>
      <w:r>
        <w:t xml:space="preserve">(2) Utajit lze jen totožnost příslušníků protiteroristického útvaru a informátorů; i jejich zákroky však podléhají kontrole tribunálu.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12 – Odpovědnost</w:t>
      </w:r>
    </w:p>
    <w:p>
      <w:pPr>
        <w:pStyle w:val="BodyText"/>
      </w:pPr>
      <w:r>
        <w:t xml:space="preserve">(1) Každý příslušník Veřejné služby výkonné je povinně pojištěn a za své jednání odpovídá osobně (čl. 84 ústavy).</w:t>
      </w:r>
    </w:p>
    <w:p>
      <w:pPr>
        <w:pStyle w:val="BodyText"/>
      </w:pPr>
      <w:r>
        <w:t xml:space="preserve">(2) Každý příslušník má právo odmítnout rozkaz, který je v rozporu s ústavou, zákonem nebo jeho svědomím anebo by směřoval proti občanům; za odmítnutí může být pouze propuštěn ze služby, a to jen po veřejném soudním řízení (čl. 86 odst. 1 ústavy).</w:t>
      </w:r>
    </w:p>
    <w:p>
      <w:pPr>
        <w:pStyle w:val="BodyText"/>
      </w:pPr>
      <w:r>
        <w:t xml:space="preserve">(3) Vedoucí, který vydal protiprávní rozkaz, odpovídá za jeho následky spolu s tím, kdo jej vykonal.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13 – Služební poměr a plat</w:t>
      </w:r>
    </w:p>
    <w:p>
      <w:pPr>
        <w:pStyle w:val="BodyText"/>
      </w:pPr>
      <w:r>
        <w:t xml:space="preserve">(1) Služební poměr příslušníků upravuje zákon o veřejných služebnících a jejich platech; do jeho účinnosti se použije zákon č. 361/2003 Sb., o služebním poměru příslušníků bezpečnostních sborů, nepřekáží-li ústavě.</w:t>
      </w:r>
    </w:p>
    <w:p>
      <w:pPr>
        <w:pStyle w:val="BodyText"/>
      </w:pPr>
      <w:r>
        <w:t xml:space="preserve">(2) Plat se stanoví podle tabulky násobků schválené v referendu (čl. 87 ústavy).</w:t>
      </w:r>
    </w:p>
    <w:bookmarkEnd w:id="23"/>
    <w:bookmarkStart w:id="24" w:name="Xd6ae096081e3b1a662e0d00e15487515409e00f"/>
    <w:p>
      <w:pPr>
        <w:pStyle w:val="Heading2"/>
        <w:jc w:val="center"/>
      </w:pPr>
      <w:r>
        <w:t xml:space="preserve">ČÁST PÁTÁ – PŘECHODNÁ A ZÁVĚREČNÁ USTANOVENÍ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14 – Přechodná ustanovení</w:t>
      </w:r>
    </w:p>
    <w:p>
      <w:pPr>
        <w:pStyle w:val="BodyText"/>
      </w:pPr>
      <w:r>
        <w:t xml:space="preserve">(1) Policie České republiky a Hasičský záchranný sbor České republiky se dnem účinnosti tohoto zákona stávají složkami Veřejné služby výkonné. Strážní složka Vězeňské služby České republiky a justiční stráž přecházejí do vězeňské stráže a správa věznic na Veřejnou službu soudní ve lhůtě podle § 18 odst. 1 zákona o veřejné službě soudní.</w:t>
      </w:r>
    </w:p>
    <w:p>
      <w:pPr>
        <w:pStyle w:val="BodyText"/>
      </w:pPr>
      <w:r>
        <w:t xml:space="preserve">(2) Agenda Ministerstva vnitra, která nepatří Veřejné službě výkonné, zejména evidence obyvatel, osobní doklady a statistika, přechází na Veřejnou službu informační do 2 let od účinnosti ústavy (čl. 66 odst. 4 a čl. 124 ústavy).</w:t>
      </w:r>
    </w:p>
    <w:p>
      <w:pPr>
        <w:pStyle w:val="BodyText"/>
      </w:pPr>
      <w:r>
        <w:t xml:space="preserve">(3) Do zvolení rozhodujících zaměstnanců podle § 6 vykonávají jejich funkce dosavadní vedoucí; volba se koná do 1 roku od účinnosti ústavy; nabude-li tento zákon účinnosti později než 6 měsíců po účinnosti ústavy, do 6 měsíců od své účinnosti (čl. 122 ústavy).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15 – Zrušovací ustanovení</w:t>
      </w:r>
    </w:p>
    <w:p>
      <w:pPr>
        <w:pStyle w:val="BodyText"/>
      </w:pPr>
      <w:r>
        <w:t xml:space="preserve">Zrušuje se zákon č. 320/2015 Sb., o Hasičském záchranném sboru České republiky, a ustanovení zákona č. 2/1969 Sb., kompetenčního zákona, o Ministerstvu vnitra, ve znění pozdějších předpisů.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16 – Účinnost</w:t>
      </w:r>
    </w:p>
    <w:p>
      <w:pPr>
        <w:pStyle w:val="BodyText"/>
      </w:pPr>
      <w:r>
        <w:t xml:space="preserve">Tento zákon nabývá účinnosti dnem vyhlášení výsledku referenda, jímž byl přijat.</w:t>
      </w:r>
    </w:p>
    <w:bookmarkEnd w:id="24"/>
    <w:bookmarkEnd w:id="25"/>
    <w:bookmarkStart w:id="33" w:name="důvodová-zpráva"/>
    <w:p>
      <w:pPr>
        <w:pStyle w:val="Heading1"/>
        <w:pageBreakBefore/>
        <w:jc w:val="center"/>
      </w:pPr>
      <w:r>
        <w:t xml:space="preserve">DŮVODOVÁ ZPRÁVA</w:t>
      </w:r>
    </w:p>
    <w:bookmarkStart w:id="31" w:name="a.-obecná-část"/>
    <w:p>
      <w:pPr>
        <w:pStyle w:val="Heading2"/>
        <w:jc w:val="center"/>
      </w:pPr>
      <w:r>
        <w:t xml:space="preserve">A. Obecná část</w:t>
      </w:r>
    </w:p>
    <w:bookmarkStart w:id="26" w:name="účel-zákona"/>
    <w:p>
      <w:pPr>
        <w:pStyle w:val="Heading3"/>
        <w:spacing w:after="40"/>
        <w:ind w:left="454"/>
      </w:pPr>
      <w:r>
        <w:t xml:space="preserve">1. Účel zákona</w:t>
      </w:r>
    </w:p>
    <w:p>
      <w:pPr>
        <w:pStyle w:val="FirstParagraph"/>
      </w:pPr>
      <w:r>
        <w:t xml:space="preserve">Veřejná služba výkonná spojuje ty, kdo nás chrání v každodenním životě: policii, hasiče, civilní ochranu a vězeňskou stráž. Zákon jí dává jednoho voleného ředitele, malý ministerský úřad a volené velitele, kteří odpovídají občanům svého kraje.</w:t>
      </w:r>
    </w:p>
    <w:bookmarkEnd w:id="26"/>
    <w:bookmarkStart w:id="27" w:name="vazba-na-oipd-a-texty-autora"/>
    <w:p>
      <w:pPr>
        <w:pStyle w:val="Heading3"/>
        <w:spacing w:after="40"/>
        <w:ind w:left="454"/>
      </w:pPr>
      <w:r>
        <w:t xml:space="preserve">2. Vazba na OIPD a texty autora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Hlava 4 OIPD, čl. 81:</w:t>
      </w:r>
      <w:r>
        <w:t xml:space="preserve"> </w:t>
      </w:r>
      <w:r>
        <w:t xml:space="preserve">ministr vnitra na 4 roky; složky VSV: policie, záchranné sbory, vězeňská služba, civilní obrana; nejvyšší velitel policie PNRČr; komunální domobrany nepodléhají VSV a mají právo přednostní audience – § 2 odst. 3, 4, 5, 9.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Hlava 4 OIPD, čl. 78:</w:t>
      </w:r>
      <w:r>
        <w:t xml:space="preserve"> </w:t>
      </w:r>
      <w:r>
        <w:t xml:space="preserve">ministerstvo do 33 zaměstnanců, IVS do 66 rozhodujících, ředitel volený a odvolatelný jen občany – § 3, 5, 6.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Definice č. 25:</w:t>
      </w:r>
      <w:r>
        <w:t xml:space="preserve"> </w:t>
      </w:r>
      <w:r>
        <w:t xml:space="preserve">policista s osobně odpovědným právem použít sílu, s právem odmítnout rozkaz – § 12.</w:t>
      </w:r>
    </w:p>
    <w:bookmarkEnd w:id="27"/>
    <w:bookmarkStart w:id="28" w:name="doplnění-a-odchylky"/>
    <w:p>
      <w:pPr>
        <w:pStyle w:val="Heading3"/>
        <w:spacing w:after="40"/>
        <w:ind w:left="454"/>
      </w:pPr>
      <w:r>
        <w:t xml:space="preserve">3. Doplnění a odchylky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  <w:tblBorders>
          <w:top w:val="single" w:sz="4" w:color="B7C9C9"/>
          <w:left w:val="single" w:sz="4" w:color="B7C9C9"/>
          <w:bottom w:val="single" w:sz="4" w:color="B7C9C9"/>
          <w:right w:val="single" w:sz="4" w:color="B7C9C9"/>
          <w:insideH w:val="single" w:sz="4" w:color="B7C9C9"/>
          <w:insideV w:val="single" w:sz="4" w:color="B7C9C9"/>
        </w:tblBorders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Téma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Autor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Návrh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Důvod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Ředitel VSV na 4 roky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autor uvádí volbu na 4 roky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volba při uprázdnění, bez období (§ 5)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Čl. 27 odst. 1 ústavy: ředitelé IVS se volí neperiodicky.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Národní domobrana ve VSV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autor řadí Národní domobranu pod VSV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Národní domobrana mimo VSV (§ 2 odst. 3)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Čl. 66 odst. 3 ústavy ji mezi složky VSV neuvádí; vrchním velitelem je prezident (čl. 103).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Vězeňská služba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ve VSV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ve VSV jen stráž, správa věznic ve VSS (§ 8, 14)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Čl. 66 odst. 2 a 3 ústavy.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Seznam 66 rozhodujících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neuveden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27 míst určeno zákonem, zbytek nařízením (§ 6)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Konkrétní odpovědnost a dodržení limitu.</w:t>
            </w:r>
          </w:p>
        </w:tc>
      </w:tr>
    </w:tbl>
    <w:bookmarkEnd w:id="28"/>
    <w:bookmarkStart w:id="29" w:name="soulad-s-ústavou-a-étosem"/>
    <w:p>
      <w:pPr>
        <w:pStyle w:val="Heading3"/>
        <w:spacing w:after="40"/>
        <w:ind w:left="454"/>
      </w:pPr>
      <w:r>
        <w:t xml:space="preserve">4. Soulad s ústavou a étosem</w:t>
      </w:r>
    </w:p>
    <w:p>
      <w:pPr>
        <w:pStyle w:val="FirstParagraph"/>
      </w:pPr>
      <w:r>
        <w:t xml:space="preserve">Zákon naplňuje čl. 58, 63–68, 84, 86, 87 a 90 ústavy. Odpovídá étosu: síla jen k ochraně, nikdy proti pokojným lidem; každý odpovídá osobně, i ten, kdo vydal rozkaz.</w:t>
      </w:r>
    </w:p>
    <w:bookmarkEnd w:id="29"/>
    <w:bookmarkStart w:id="30" w:name="dopady"/>
    <w:p>
      <w:pPr>
        <w:pStyle w:val="Heading3"/>
        <w:spacing w:after="40"/>
        <w:ind w:left="454"/>
      </w:pPr>
      <w:r>
        <w:t xml:space="preserve">5. Dopady</w:t>
      </w:r>
    </w:p>
    <w:p>
      <w:pPr>
        <w:pStyle w:val="FirstParagraph"/>
      </w:pPr>
      <w:r>
        <w:t xml:space="preserve">Převod evidence obyvatel a dokladů na VSI a správy věznic na VSS zjednoduší strukturu. Ministerstvo se zmenší na nejvýše 33 zaměstnanců.</w:t>
      </w:r>
    </w:p>
    <w:bookmarkEnd w:id="30"/>
    <w:bookmarkEnd w:id="31"/>
    <w:bookmarkStart w:id="32" w:name="b.-zvláštní-část"/>
    <w:p>
      <w:pPr>
        <w:pStyle w:val="Heading2"/>
        <w:jc w:val="center"/>
      </w:pPr>
      <w:r>
        <w:t xml:space="preserve">B. Zvláštní část</w:t>
      </w:r>
    </w:p>
    <w:p>
      <w:pPr>
        <w:pStyle w:val="FirstParagraph"/>
      </w:pPr>
      <w:r>
        <w:rPr>
          <w:bCs/>
          <w:b/>
        </w:rPr>
        <w:t xml:space="preserve">K § 1 a 2:</w:t>
      </w:r>
      <w:r>
        <w:t xml:space="preserve"> </w:t>
      </w:r>
      <w:r>
        <w:t xml:space="preserve">Poslání a vymezení vůči domobranám.</w:t>
      </w:r>
    </w:p>
    <w:p>
      <w:pPr>
        <w:pStyle w:val="BodyText"/>
      </w:pPr>
      <w:r>
        <w:rPr>
          <w:bCs/>
          <w:b/>
        </w:rPr>
        <w:t xml:space="preserve">K § 3:</w:t>
      </w:r>
      <w:r>
        <w:t xml:space="preserve"> </w:t>
      </w:r>
      <w:r>
        <w:t xml:space="preserve">Ministerstvo vnitra.</w:t>
      </w:r>
    </w:p>
    <w:p>
      <w:pPr>
        <w:pStyle w:val="BodyText"/>
      </w:pPr>
      <w:r>
        <w:rPr>
          <w:bCs/>
          <w:b/>
        </w:rPr>
        <w:t xml:space="preserve">K § 4 až 10:</w:t>
      </w:r>
      <w:r>
        <w:t xml:space="preserve"> </w:t>
      </w:r>
      <w:r>
        <w:t xml:space="preserve">Složky, ředitel, rozhodující zaměstnanci, záchranné sbory, vězeňská stráž, spolupráce a tísňové linky.</w:t>
      </w:r>
    </w:p>
    <w:p>
      <w:pPr>
        <w:pStyle w:val="BodyText"/>
      </w:pPr>
      <w:r>
        <w:rPr>
          <w:bCs/>
          <w:b/>
        </w:rPr>
        <w:t xml:space="preserve">K § 11 až 13:</w:t>
      </w:r>
      <w:r>
        <w:t xml:space="preserve"> </w:t>
      </w:r>
      <w:r>
        <w:t xml:space="preserve">Otevřenost, odpovědnost, služební poměr.</w:t>
      </w:r>
    </w:p>
    <w:p>
      <w:pPr>
        <w:pStyle w:val="BodyText"/>
      </w:pPr>
      <w:r>
        <w:rPr>
          <w:bCs/>
          <w:b/>
        </w:rPr>
        <w:t xml:space="preserve">K § 14 až 16:</w:t>
      </w:r>
      <w:r>
        <w:t xml:space="preserve"> </w:t>
      </w:r>
      <w:r>
        <w:t xml:space="preserve">Přechodná ustanovení, zrušení a účinnost.</w:t>
      </w:r>
    </w:p>
    <w:p>
      <w:pPr>
        <w:pStyle w:val="BodyText"/>
      </w:pPr>
      <w:r>
        <w:rPr>
          <w:iCs/>
          <w:i/>
        </w:rPr>
        <w:t xml:space="preserve">Zdroje: Občanská ústava ČR (OIPD), čl. 27, 58, 63–68, 84, 86, 87, 90, 103, 122, 124 (forumlidu.cz/oipd/navrh-ustavy); Fórum lidu – OIPD: Hlava 4 (čl. 78, 81), Definice (č. 25); seznam zákonů (č. 17); zákony č. 320/2015 Sb., 361/2003 Sb., 2/1969 Sb.</w:t>
      </w:r>
    </w:p>
    <w:bookmarkEnd w:id="32"/>
    <w:bookmarkEnd w:id="33"/>
    <w:sectPr>
      <w:footerReference w:type="default" r:id="rId9"/>
      <w:pgSz w:w="11906" w:h="16838"/>
      <w:pgMar w:left="1247" w:right="1247" w:top="1134" w:bottom="10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rlito" w:hAnsi="Carlito"/>
        <w:color w:val="555555"/>
        <w:sz w:val="16"/>
      </w:rPr>
      <w:t xml:space="preserve">Návrh zákona č. 17 – Zákon o veřejné službě výkonné · strana </w:t>
    </w:r>
    <w:r>
      <w:rPr>
        <w:rFonts w:ascii="Carlito" w:hAnsi="Carlito"/>
        <w:color w:val="555555"/>
        <w:sz w:val="16"/>
      </w:rPr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before="0" w:after="80" w:line="269" w:lineRule="auto"/>
      <w:jc w:val="both"/>
    </w:pPr>
    <w:rPr>
      <w:rFonts w:ascii="Carlito" w:hAnsi="Carlito" w:cs="Carlito" w:eastAsia="Carlito"/>
      <w:sz w:val="22"/>
    </w:rPr>
  </w:style>
  <w:style w:styleId="BodyText" w:type="paragraph">
    <w:name w:val="Body Text"/>
    <w:basedOn w:val="Normal"/>
    <w:link w:val="BodyTextChar"/>
    <w:pPr>
      <w:spacing w:after="80" w:before="0" w:line="269" w:lineRule="auto"/>
      <w:jc w:val="both"/>
    </w:pPr>
    <w:qFormat/>
    <w:rPr>
      <w:rFonts w:ascii="Carlito" w:hAnsi="Carlito" w:cs="Carlito" w:eastAsia="Carlito"/>
      <w:sz w:val="22"/>
    </w:rPr>
  </w:style>
  <w:style w:customStyle="1" w:styleId="FirstParagraph" w:type="paragraph">
    <w:name w:val="First Paragraph"/>
    <w:basedOn w:val="BodyText"/>
    <w:next w:val="BodyText"/>
    <w:qFormat/>
    <w:pPr>
      <w:spacing w:before="0" w:after="80" w:line="269" w:lineRule="auto"/>
      <w:jc w:val="both"/>
    </w:pPr>
    <w:rPr>
      <w:rFonts w:ascii="Carlito" w:hAnsi="Carlito" w:cs="Carlito" w:eastAsia="Carlito"/>
      <w:sz w:val="22"/>
    </w:rPr>
  </w:style>
  <w:style w:customStyle="1" w:styleId="Compact" w:type="paragraph">
    <w:name w:val="Compact"/>
    <w:basedOn w:val="BodyText"/>
    <w:qFormat/>
    <w:pPr>
      <w:spacing w:after="80" w:before="0" w:line="269" w:lineRule="auto"/>
      <w:jc w:val="both"/>
    </w:pPr>
    <w:rPr>
      <w:rFonts w:ascii="Carlito" w:hAnsi="Carlito" w:cs="Carlito" w:eastAsia="Carlito"/>
      <w:sz w:val="22"/>
    </w:rPr>
  </w:style>
  <w:style w:styleId="Title" w:type="paragraph">
    <w:name w:val="Title"/>
    <w:basedOn w:val="Normal"/>
    <w:next w:val="BodyText"/>
    <w:qFormat/>
    <w:pPr>
      <w:keepNext/>
      <w:keepLines/>
      <w:spacing w:after="120" w:before="480"/>
      <w:jc w:val="center"/>
    </w:pPr>
    <w:rPr>
      <w:rFonts w:ascii="Carlito" w:hAnsi="Carlito" w:cs="Carlito" w:eastAsia="Carlito"/>
      <w:b/>
      <w:bCs/>
      <w:color w:val="114749"/>
      <w:sz w:val="44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80" w:before="0"/>
      <w:jc w:val="center"/>
    </w:pPr>
    <w:rPr>
      <w:rFonts w:ascii="Carlito" w:hAnsi="Carlito" w:cs="Carlito" w:eastAsia="Carlito"/>
      <w:i/>
      <w:color w:val="B33A2E"/>
      <w:sz w:val="24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spacing w:before="0" w:after="280"/>
      <w:jc w:val="center"/>
    </w:pPr>
    <w:rPr>
      <w:rFonts w:ascii="Carlito" w:hAnsi="Carlito" w:cs="Carlito" w:eastAsia="Carlito"/>
      <w:color w:val="555555"/>
      <w:sz w:val="20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60" w:before="280"/>
      <w:outlineLvl w:val="0"/>
    </w:pPr>
    <w:rPr>
      <w:rFonts w:ascii="Carlito" w:hAnsi="Carlito" w:cs="Carlito" w:eastAsia="Carlito"/>
      <w:b/>
      <w:bCs/>
      <w:color w:val="114749"/>
      <w:sz w:val="28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80" w:before="200"/>
      <w:outlineLvl w:val="1"/>
    </w:pPr>
    <w:rPr>
      <w:rFonts w:ascii="Carlito" w:hAnsi="Carlito" w:cs="Carlito" w:eastAsia="Carlito"/>
      <w:b/>
      <w:bCs/>
      <w:color w:val="B33A2E"/>
      <w:sz w:val="24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60" w:before="160"/>
      <w:outlineLvl w:val="2"/>
    </w:pPr>
    <w:rPr>
      <w:rFonts w:ascii="Carlito" w:hAnsi="Carlito" w:cs="Carlito" w:eastAsia="Carlito"/>
      <w:b/>
      <w:bCs/>
      <w:color w:val="114749"/>
      <w:sz w:val="22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zákona č. 17 – Zákon o veřejné službě výkonné</dc:title>
  <dc:creator>Fórum lidu</dc:creator>
  <cp:keywords/>
  <dcterms:created xsi:type="dcterms:W3CDTF">2026-10-27T05:34:42Z</dcterms:created>
  <dcterms:modified xsi:type="dcterms:W3CDTF">2026-10-27T05:34:42Z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Fórum lidu · pracovní návrh ze dne 26. 10. 2026</vt:lpwstr>
  </property>
  <property fmtid="{D5CDD505-2E9C-101B-9397-08002B2CF9AE}" pid="3" name="subtitle">
    <vt:lpwstr>Návrh zákona č. 17 podle seznamu zákonů Fóra lidu – prováděcí zákon k Občanské ústavě ČR (OIPD)</vt:lpwstr>
  </property>
</Properties>
</file>